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11" w:rsidRPr="000D40B1" w:rsidRDefault="00C63411" w:rsidP="00C63411">
      <w:pPr>
        <w:spacing w:after="0" w:line="240" w:lineRule="auto"/>
        <w:rPr>
          <w:rFonts w:cs="Arial"/>
          <w:b/>
          <w:szCs w:val="20"/>
          <w:u w:val="single"/>
        </w:rPr>
      </w:pPr>
      <w:r>
        <w:rPr>
          <w:rFonts w:cs="Arial"/>
          <w:b/>
          <w:szCs w:val="20"/>
          <w:u w:val="single"/>
        </w:rPr>
        <w:t>Taak 4B:</w:t>
      </w:r>
    </w:p>
    <w:p w:rsidR="00C63411" w:rsidRPr="006255FB" w:rsidRDefault="00C63411" w:rsidP="00C63411">
      <w:pPr>
        <w:spacing w:after="0" w:line="240" w:lineRule="auto"/>
        <w:rPr>
          <w:rFonts w:asciiTheme="minorHAnsi" w:hAnsiTheme="minorHAnsi"/>
          <w:sz w:val="22"/>
        </w:rPr>
      </w:pPr>
    </w:p>
    <w:p w:rsidR="00C63411" w:rsidRPr="006255FB" w:rsidRDefault="00C63411" w:rsidP="00C63411">
      <w:pPr>
        <w:spacing w:after="0" w:line="240" w:lineRule="auto"/>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938"/>
      </w:tblGrid>
      <w:tr w:rsidR="00C63411" w:rsidRPr="006255FB" w:rsidTr="00B26D69">
        <w:tc>
          <w:tcPr>
            <w:tcW w:w="1701" w:type="dxa"/>
            <w:tcBorders>
              <w:left w:val="double" w:sz="6" w:space="0" w:color="auto"/>
              <w:right w:val="double" w:sz="6" w:space="0" w:color="auto"/>
            </w:tcBorders>
            <w:shd w:val="clear" w:color="auto" w:fill="FFFFFF"/>
          </w:tcPr>
          <w:p w:rsidR="00C63411" w:rsidRPr="000D40B1" w:rsidRDefault="00C63411" w:rsidP="00B26D69">
            <w:pPr>
              <w:tabs>
                <w:tab w:val="left" w:pos="1380"/>
              </w:tabs>
              <w:spacing w:after="0" w:line="240" w:lineRule="auto"/>
              <w:rPr>
                <w:rFonts w:cs="Arial"/>
                <w:szCs w:val="20"/>
              </w:rPr>
            </w:pPr>
            <w:r w:rsidRPr="000D40B1">
              <w:rPr>
                <w:rFonts w:cs="Arial"/>
                <w:szCs w:val="20"/>
              </w:rPr>
              <w:t>Soort taak</w:t>
            </w:r>
            <w:r w:rsidRPr="000D40B1">
              <w:rPr>
                <w:rFonts w:cs="Arial"/>
                <w:szCs w:val="20"/>
              </w:rPr>
              <w:tab/>
            </w:r>
          </w:p>
        </w:tc>
        <w:tc>
          <w:tcPr>
            <w:tcW w:w="7938" w:type="dxa"/>
            <w:tcBorders>
              <w:left w:val="double" w:sz="6" w:space="0" w:color="auto"/>
              <w:right w:val="double" w:sz="6" w:space="0" w:color="auto"/>
            </w:tcBorders>
          </w:tcPr>
          <w:p w:rsidR="00C63411" w:rsidRPr="000D40B1" w:rsidRDefault="00C63411" w:rsidP="00B26D69">
            <w:pPr>
              <w:spacing w:after="0" w:line="240" w:lineRule="auto"/>
              <w:rPr>
                <w:rFonts w:cs="Arial"/>
                <w:szCs w:val="20"/>
              </w:rPr>
            </w:pPr>
            <w:r w:rsidRPr="000D40B1">
              <w:rPr>
                <w:rFonts w:cs="Arial"/>
                <w:szCs w:val="20"/>
              </w:rPr>
              <w:t>Studietaak</w:t>
            </w:r>
          </w:p>
        </w:tc>
      </w:tr>
      <w:tr w:rsidR="00C63411" w:rsidRPr="006255FB" w:rsidTr="00B26D69">
        <w:tc>
          <w:tcPr>
            <w:tcW w:w="1701" w:type="dxa"/>
            <w:tcBorders>
              <w:left w:val="double" w:sz="6" w:space="0" w:color="auto"/>
              <w:right w:val="double" w:sz="6" w:space="0" w:color="auto"/>
            </w:tcBorders>
            <w:shd w:val="clear" w:color="auto" w:fill="FFFFFF"/>
          </w:tcPr>
          <w:p w:rsidR="00C63411" w:rsidRPr="000D40B1" w:rsidRDefault="00C63411" w:rsidP="00B26D69">
            <w:pPr>
              <w:spacing w:after="0" w:line="240" w:lineRule="auto"/>
              <w:rPr>
                <w:rFonts w:cs="Arial"/>
                <w:szCs w:val="20"/>
              </w:rPr>
            </w:pPr>
            <w:r w:rsidRPr="000D40B1">
              <w:rPr>
                <w:rFonts w:cs="Arial"/>
                <w:szCs w:val="20"/>
              </w:rPr>
              <w:t>Titel</w:t>
            </w:r>
          </w:p>
        </w:tc>
        <w:tc>
          <w:tcPr>
            <w:tcW w:w="7938" w:type="dxa"/>
            <w:tcBorders>
              <w:left w:val="double" w:sz="6" w:space="0" w:color="auto"/>
              <w:right w:val="double" w:sz="6" w:space="0" w:color="auto"/>
            </w:tcBorders>
          </w:tcPr>
          <w:p w:rsidR="00C63411" w:rsidRPr="000D40B1" w:rsidRDefault="00C63411" w:rsidP="00B26D69">
            <w:pPr>
              <w:spacing w:after="0" w:line="240" w:lineRule="auto"/>
              <w:rPr>
                <w:rFonts w:cs="Arial"/>
                <w:szCs w:val="20"/>
              </w:rPr>
            </w:pPr>
            <w:bookmarkStart w:id="0" w:name="_GoBack"/>
            <w:r w:rsidRPr="000D40B1">
              <w:rPr>
                <w:rFonts w:cs="Arial"/>
                <w:szCs w:val="20"/>
              </w:rPr>
              <w:t xml:space="preserve">Het hypertensiespreekuur </w:t>
            </w:r>
            <w:bookmarkEnd w:id="0"/>
          </w:p>
        </w:tc>
      </w:tr>
      <w:tr w:rsidR="00C63411" w:rsidRPr="006255FB" w:rsidTr="00B26D69">
        <w:tc>
          <w:tcPr>
            <w:tcW w:w="1701" w:type="dxa"/>
            <w:tcBorders>
              <w:left w:val="double" w:sz="6" w:space="0" w:color="auto"/>
              <w:right w:val="double" w:sz="6" w:space="0" w:color="auto"/>
            </w:tcBorders>
            <w:shd w:val="clear" w:color="auto" w:fill="FFFFFF"/>
          </w:tcPr>
          <w:p w:rsidR="00C63411" w:rsidRPr="000D40B1" w:rsidRDefault="00C63411" w:rsidP="00B26D69">
            <w:pPr>
              <w:spacing w:after="0" w:line="240" w:lineRule="auto"/>
              <w:rPr>
                <w:rFonts w:cs="Arial"/>
                <w:szCs w:val="20"/>
              </w:rPr>
            </w:pPr>
            <w:r w:rsidRPr="000D40B1">
              <w:rPr>
                <w:rFonts w:cs="Arial"/>
                <w:szCs w:val="20"/>
              </w:rPr>
              <w:t>Inleiding</w:t>
            </w:r>
          </w:p>
        </w:tc>
        <w:tc>
          <w:tcPr>
            <w:tcW w:w="7938" w:type="dxa"/>
            <w:tcBorders>
              <w:left w:val="double" w:sz="6" w:space="0" w:color="auto"/>
              <w:right w:val="double" w:sz="6" w:space="0" w:color="auto"/>
            </w:tcBorders>
          </w:tcPr>
          <w:p w:rsidR="00C63411" w:rsidRPr="000D40B1" w:rsidRDefault="00C63411" w:rsidP="00B26D69">
            <w:pPr>
              <w:spacing w:after="0" w:line="240" w:lineRule="auto"/>
              <w:rPr>
                <w:rFonts w:cs="Arial"/>
                <w:szCs w:val="20"/>
              </w:rPr>
            </w:pPr>
            <w:r w:rsidRPr="000D40B1">
              <w:rPr>
                <w:rFonts w:cs="Arial"/>
                <w:szCs w:val="20"/>
              </w:rPr>
              <w:t xml:space="preserve">Hoge bloeddruk komt bij veel patiënten voor. In veel praktijken neemt de doktersassistent een deel van de controles voor haar rekening. Tijdens de controles wordt zij ook met allerhande vragen geconfronteerd. </w:t>
            </w:r>
          </w:p>
        </w:tc>
      </w:tr>
      <w:tr w:rsidR="00C63411" w:rsidRPr="006255FB" w:rsidTr="00B26D69">
        <w:tc>
          <w:tcPr>
            <w:tcW w:w="1701" w:type="dxa"/>
            <w:tcBorders>
              <w:left w:val="double" w:sz="6" w:space="0" w:color="auto"/>
              <w:right w:val="double" w:sz="6" w:space="0" w:color="auto"/>
            </w:tcBorders>
            <w:shd w:val="clear" w:color="auto" w:fill="FFFFFF"/>
          </w:tcPr>
          <w:p w:rsidR="00C63411" w:rsidRPr="000D40B1" w:rsidRDefault="00C63411" w:rsidP="00B26D69">
            <w:pPr>
              <w:spacing w:after="0" w:line="240" w:lineRule="auto"/>
              <w:rPr>
                <w:rFonts w:cs="Arial"/>
                <w:szCs w:val="20"/>
              </w:rPr>
            </w:pPr>
            <w:r w:rsidRPr="000D40B1">
              <w:rPr>
                <w:rFonts w:cs="Arial"/>
                <w:szCs w:val="20"/>
              </w:rPr>
              <w:t>Werkwijze</w:t>
            </w:r>
          </w:p>
        </w:tc>
        <w:tc>
          <w:tcPr>
            <w:tcW w:w="7938" w:type="dxa"/>
            <w:tcBorders>
              <w:left w:val="double" w:sz="6" w:space="0" w:color="auto"/>
              <w:right w:val="double" w:sz="6" w:space="0" w:color="auto"/>
            </w:tcBorders>
          </w:tcPr>
          <w:p w:rsidR="00C63411" w:rsidRPr="000D40B1" w:rsidRDefault="00C63411" w:rsidP="00B26D69">
            <w:pPr>
              <w:spacing w:after="0" w:line="240" w:lineRule="auto"/>
              <w:rPr>
                <w:rFonts w:cs="Arial"/>
                <w:szCs w:val="20"/>
              </w:rPr>
            </w:pPr>
            <w:r w:rsidRPr="000D40B1">
              <w:rPr>
                <w:rFonts w:cs="Arial"/>
                <w:szCs w:val="20"/>
              </w:rPr>
              <w:t>T.b.v. de theorieles</w:t>
            </w:r>
          </w:p>
          <w:p w:rsidR="00C63411" w:rsidRPr="000D40B1" w:rsidRDefault="00C63411" w:rsidP="00C63411">
            <w:pPr>
              <w:numPr>
                <w:ilvl w:val="0"/>
                <w:numId w:val="1"/>
              </w:numPr>
              <w:spacing w:after="0" w:line="240" w:lineRule="auto"/>
              <w:rPr>
                <w:rFonts w:cs="Arial"/>
                <w:szCs w:val="20"/>
              </w:rPr>
            </w:pPr>
            <w:r w:rsidRPr="000D40B1">
              <w:rPr>
                <w:rFonts w:cs="Arial"/>
                <w:szCs w:val="20"/>
              </w:rPr>
              <w:t>Maak Hypertensie: “Moeilijke vragen van patiënten” (bijlage)</w:t>
            </w:r>
          </w:p>
          <w:p w:rsidR="00C63411" w:rsidRPr="000D40B1" w:rsidRDefault="00C63411" w:rsidP="00C63411">
            <w:pPr>
              <w:numPr>
                <w:ilvl w:val="0"/>
                <w:numId w:val="1"/>
              </w:numPr>
              <w:spacing w:after="0" w:line="240" w:lineRule="auto"/>
              <w:rPr>
                <w:rFonts w:cs="Arial"/>
                <w:szCs w:val="20"/>
              </w:rPr>
            </w:pPr>
            <w:r w:rsidRPr="000D40B1">
              <w:rPr>
                <w:rFonts w:cs="Arial"/>
                <w:szCs w:val="20"/>
              </w:rPr>
              <w:t>Zoek op internet de NHG-</w:t>
            </w:r>
            <w:proofErr w:type="spellStart"/>
            <w:r w:rsidRPr="000D40B1">
              <w:rPr>
                <w:rFonts w:cs="Arial"/>
                <w:szCs w:val="20"/>
              </w:rPr>
              <w:t>patiëntenbrief</w:t>
            </w:r>
            <w:proofErr w:type="spellEnd"/>
            <w:r w:rsidRPr="000D40B1">
              <w:rPr>
                <w:rFonts w:cs="Arial"/>
                <w:szCs w:val="20"/>
              </w:rPr>
              <w:t>: “Voedingsadviezen bij een hoge bloeddruk” en bestudeer deze.</w:t>
            </w:r>
          </w:p>
          <w:p w:rsidR="00C63411" w:rsidRPr="000D40B1" w:rsidRDefault="00C63411" w:rsidP="00B26D69">
            <w:pPr>
              <w:spacing w:after="0" w:line="240" w:lineRule="auto"/>
              <w:ind w:left="360"/>
              <w:rPr>
                <w:rFonts w:cs="Arial"/>
                <w:szCs w:val="20"/>
              </w:rPr>
            </w:pPr>
          </w:p>
          <w:p w:rsidR="00C63411" w:rsidRPr="000D40B1" w:rsidRDefault="00C63411" w:rsidP="00B26D69">
            <w:pPr>
              <w:spacing w:after="0" w:line="240" w:lineRule="auto"/>
              <w:rPr>
                <w:rFonts w:cs="Arial"/>
                <w:szCs w:val="20"/>
              </w:rPr>
            </w:pPr>
          </w:p>
          <w:p w:rsidR="00C63411" w:rsidRPr="000D40B1" w:rsidRDefault="00C63411" w:rsidP="00B26D69">
            <w:pPr>
              <w:spacing w:after="0" w:line="240" w:lineRule="auto"/>
              <w:rPr>
                <w:rFonts w:cs="Arial"/>
                <w:szCs w:val="20"/>
              </w:rPr>
            </w:pPr>
            <w:r w:rsidRPr="000D40B1">
              <w:rPr>
                <w:rFonts w:cs="Arial"/>
                <w:szCs w:val="20"/>
              </w:rPr>
              <w:t>Verder besteden we aandacht aan het uitvoeren van een 3-maandelijkse hypertensiecontrole.</w:t>
            </w:r>
          </w:p>
          <w:p w:rsidR="00C63411" w:rsidRPr="000D40B1" w:rsidRDefault="00C63411" w:rsidP="00B26D69">
            <w:pPr>
              <w:spacing w:after="0" w:line="240" w:lineRule="auto"/>
              <w:rPr>
                <w:rFonts w:cs="Arial"/>
                <w:szCs w:val="20"/>
              </w:rPr>
            </w:pPr>
            <w:r w:rsidRPr="000D40B1">
              <w:rPr>
                <w:rFonts w:cs="Arial"/>
                <w:szCs w:val="20"/>
              </w:rPr>
              <w:t>Lees nog eens: “Eigen spreekuur en chronische ziekten” H. 2</w:t>
            </w:r>
          </w:p>
        </w:tc>
      </w:tr>
      <w:tr w:rsidR="00C63411" w:rsidRPr="006255FB" w:rsidTr="00B26D69">
        <w:tc>
          <w:tcPr>
            <w:tcW w:w="1701" w:type="dxa"/>
            <w:tcBorders>
              <w:left w:val="double" w:sz="6" w:space="0" w:color="auto"/>
              <w:right w:val="double" w:sz="6" w:space="0" w:color="auto"/>
            </w:tcBorders>
            <w:shd w:val="clear" w:color="auto" w:fill="FFFFFF"/>
          </w:tcPr>
          <w:p w:rsidR="00C63411" w:rsidRPr="000D40B1" w:rsidRDefault="00C63411" w:rsidP="00B26D69">
            <w:pPr>
              <w:spacing w:after="0" w:line="240" w:lineRule="auto"/>
              <w:rPr>
                <w:rFonts w:cs="Arial"/>
                <w:szCs w:val="20"/>
              </w:rPr>
            </w:pPr>
            <w:r w:rsidRPr="000D40B1">
              <w:rPr>
                <w:rFonts w:cs="Arial"/>
                <w:szCs w:val="20"/>
              </w:rPr>
              <w:t>Ondersteuning</w:t>
            </w:r>
          </w:p>
        </w:tc>
        <w:tc>
          <w:tcPr>
            <w:tcW w:w="7938" w:type="dxa"/>
            <w:tcBorders>
              <w:left w:val="double" w:sz="6" w:space="0" w:color="auto"/>
              <w:right w:val="double" w:sz="6" w:space="0" w:color="auto"/>
            </w:tcBorders>
          </w:tcPr>
          <w:p w:rsidR="00C63411" w:rsidRPr="000D40B1" w:rsidRDefault="00C63411" w:rsidP="00B26D69">
            <w:pPr>
              <w:spacing w:after="0" w:line="240" w:lineRule="auto"/>
              <w:rPr>
                <w:rFonts w:cs="Arial"/>
                <w:szCs w:val="20"/>
              </w:rPr>
            </w:pPr>
          </w:p>
        </w:tc>
      </w:tr>
      <w:tr w:rsidR="00C63411" w:rsidRPr="006255FB" w:rsidTr="00B26D69">
        <w:tc>
          <w:tcPr>
            <w:tcW w:w="1701" w:type="dxa"/>
            <w:tcBorders>
              <w:left w:val="double" w:sz="6" w:space="0" w:color="auto"/>
              <w:right w:val="double" w:sz="6" w:space="0" w:color="auto"/>
            </w:tcBorders>
            <w:shd w:val="clear" w:color="auto" w:fill="FFFFFF"/>
          </w:tcPr>
          <w:p w:rsidR="00C63411" w:rsidRPr="000D40B1" w:rsidRDefault="00C63411" w:rsidP="00B26D69">
            <w:pPr>
              <w:spacing w:after="0" w:line="240" w:lineRule="auto"/>
              <w:rPr>
                <w:rFonts w:cs="Arial"/>
                <w:szCs w:val="20"/>
              </w:rPr>
            </w:pPr>
            <w:r w:rsidRPr="000D40B1">
              <w:rPr>
                <w:rFonts w:cs="Arial"/>
                <w:szCs w:val="20"/>
              </w:rPr>
              <w:t>Media</w:t>
            </w:r>
          </w:p>
        </w:tc>
        <w:tc>
          <w:tcPr>
            <w:tcW w:w="7938" w:type="dxa"/>
            <w:tcBorders>
              <w:left w:val="double" w:sz="6" w:space="0" w:color="auto"/>
              <w:right w:val="double" w:sz="6" w:space="0" w:color="auto"/>
            </w:tcBorders>
          </w:tcPr>
          <w:p w:rsidR="00C63411" w:rsidRPr="000D40B1" w:rsidRDefault="00C63411" w:rsidP="00B26D69">
            <w:pPr>
              <w:spacing w:after="0" w:line="240" w:lineRule="auto"/>
              <w:rPr>
                <w:rFonts w:cs="Arial"/>
                <w:szCs w:val="20"/>
              </w:rPr>
            </w:pPr>
            <w:r w:rsidRPr="000D40B1">
              <w:rPr>
                <w:rFonts w:cs="Arial"/>
                <w:szCs w:val="20"/>
              </w:rPr>
              <w:t>Eigen spreekuur en chronische ziekten H. 2 (2.6)</w:t>
            </w:r>
          </w:p>
          <w:p w:rsidR="00C63411" w:rsidRPr="000D40B1" w:rsidRDefault="00C63411" w:rsidP="00B26D69">
            <w:pPr>
              <w:spacing w:after="0" w:line="240" w:lineRule="auto"/>
              <w:rPr>
                <w:rFonts w:cs="Arial"/>
                <w:szCs w:val="20"/>
              </w:rPr>
            </w:pPr>
            <w:r w:rsidRPr="000D40B1">
              <w:rPr>
                <w:rFonts w:cs="Arial"/>
                <w:szCs w:val="20"/>
              </w:rPr>
              <w:t>Hypertensie: “Moeilijke vragen van patiënten” (Bijlage</w:t>
            </w:r>
            <w:r>
              <w:rPr>
                <w:rFonts w:cs="Arial"/>
                <w:szCs w:val="20"/>
              </w:rPr>
              <w:t xml:space="preserve"> 2</w:t>
            </w:r>
            <w:r w:rsidRPr="000D40B1">
              <w:rPr>
                <w:rFonts w:cs="Arial"/>
                <w:szCs w:val="20"/>
              </w:rPr>
              <w:t>)</w:t>
            </w:r>
          </w:p>
          <w:p w:rsidR="00C63411" w:rsidRPr="000D40B1" w:rsidRDefault="00C63411" w:rsidP="00B26D69">
            <w:pPr>
              <w:spacing w:after="0" w:line="240" w:lineRule="auto"/>
              <w:rPr>
                <w:rFonts w:cs="Arial"/>
                <w:szCs w:val="20"/>
              </w:rPr>
            </w:pPr>
          </w:p>
        </w:tc>
      </w:tr>
    </w:tbl>
    <w:p w:rsidR="00453CA7" w:rsidRDefault="00C63411" w:rsidP="00C63411"/>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06CB6"/>
    <w:multiLevelType w:val="hybridMultilevel"/>
    <w:tmpl w:val="D7021A3E"/>
    <w:lvl w:ilvl="0" w:tplc="D7E87B8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11"/>
    <w:rsid w:val="008C3A90"/>
    <w:rsid w:val="00B401FE"/>
    <w:rsid w:val="00C63411"/>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35E5E-EEFC-4E08-9576-8F828B14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63411"/>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2017-03-17T18:08:00Z</dcterms:created>
  <dcterms:modified xsi:type="dcterms:W3CDTF">2017-03-17T18:08:00Z</dcterms:modified>
</cp:coreProperties>
</file>